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4D0E2EE1" w14:textId="77777777" w:rsidTr="0069782A">
        <w:trPr>
          <w:jc w:val="center"/>
        </w:trPr>
        <w:tc>
          <w:tcPr>
            <w:tcW w:w="1440" w:type="dxa"/>
          </w:tcPr>
          <w:p w14:paraId="13DDF1DC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6823C787" wp14:editId="3FAA77B6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4494334D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0480FB86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633E0265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5CEEB7CE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34294DCC" w14:textId="77777777" w:rsidR="00A462BF" w:rsidRDefault="008B52AF" w:rsidP="0051118F">
      <w:pPr>
        <w:rPr>
          <w:sz w:val="20"/>
        </w:rPr>
      </w:pPr>
      <w:r>
        <w:rPr>
          <w:noProof/>
          <w:sz w:val="20"/>
        </w:rPr>
        <w:pict w14:anchorId="09BF49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2F9A5FB4" w14:textId="77777777" w:rsidR="00301533" w:rsidRDefault="00301533" w:rsidP="00301533">
      <w:pPr>
        <w:pStyle w:val="ListParagraph"/>
        <w:numPr>
          <w:ilvl w:val="2"/>
          <w:numId w:val="4"/>
        </w:numPr>
        <w:tabs>
          <w:tab w:val="left" w:pos="1841"/>
        </w:tabs>
        <w:spacing w:before="90" w:line="244" w:lineRule="auto"/>
        <w:ind w:left="1300" w:right="1632" w:firstLine="0"/>
        <w:rPr>
          <w:b/>
          <w:sz w:val="24"/>
        </w:rPr>
      </w:pPr>
      <w:r>
        <w:rPr>
          <w:b/>
          <w:sz w:val="24"/>
        </w:rPr>
        <w:t>Percentage of expenditure incurred on maintenance of infrastructure (physical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facilities)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excluding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component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Lakhs)</w:t>
      </w:r>
    </w:p>
    <w:p w14:paraId="50565900" w14:textId="77777777" w:rsidR="00301533" w:rsidRDefault="00301533" w:rsidP="00301533">
      <w:pPr>
        <w:pStyle w:val="BodyText"/>
        <w:spacing w:before="7"/>
        <w:rPr>
          <w:sz w:val="20"/>
        </w:rPr>
      </w:pPr>
    </w:p>
    <w:p w14:paraId="1BA14253" w14:textId="77777777" w:rsidR="00301533" w:rsidRDefault="00301533" w:rsidP="00301533">
      <w:pPr>
        <w:pStyle w:val="ListParagraph"/>
        <w:numPr>
          <w:ilvl w:val="3"/>
          <w:numId w:val="4"/>
        </w:numPr>
        <w:tabs>
          <w:tab w:val="left" w:pos="2441"/>
        </w:tabs>
        <w:spacing w:line="244" w:lineRule="auto"/>
        <w:ind w:left="1300" w:right="1631" w:firstLine="360"/>
        <w:rPr>
          <w:b/>
          <w:sz w:val="24"/>
        </w:rPr>
      </w:pPr>
      <w:r>
        <w:rPr>
          <w:b/>
          <w:sz w:val="24"/>
        </w:rPr>
        <w:t>Expenditure incurred on maintenance of infrastructure (physical facilities and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academic support facilities) excluding salary component year wise during the last five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(INR in lakhs)</w:t>
      </w:r>
    </w:p>
    <w:p w14:paraId="147A1E28" w14:textId="77777777" w:rsidR="00301533" w:rsidRDefault="00301533" w:rsidP="00301533">
      <w:pPr>
        <w:pStyle w:val="BodyText"/>
        <w:rPr>
          <w:sz w:val="26"/>
        </w:rPr>
      </w:pPr>
    </w:p>
    <w:p w14:paraId="2BE39A42" w14:textId="77777777" w:rsidR="00301533" w:rsidRDefault="00301533" w:rsidP="00301533">
      <w:pPr>
        <w:spacing w:before="224" w:line="244" w:lineRule="auto"/>
        <w:ind w:left="1300" w:right="1113"/>
        <w:rPr>
          <w:rFonts w:ascii="Tahoma"/>
          <w:b/>
          <w:sz w:val="18"/>
        </w:rPr>
      </w:pPr>
      <w:r>
        <w:rPr>
          <w:rFonts w:ascii="Tahoma"/>
          <w:b/>
          <w:color w:val="333333"/>
          <w:sz w:val="18"/>
        </w:rPr>
        <w:t>1.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Highlighting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items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expenditure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incurred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on</w:t>
      </w:r>
      <w:r>
        <w:rPr>
          <w:rFonts w:ascii="Tahoma"/>
          <w:b/>
          <w:color w:val="333333"/>
          <w:spacing w:val="-5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maintenance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of</w:t>
      </w:r>
      <w:r>
        <w:rPr>
          <w:rFonts w:ascii="Tahoma"/>
          <w:b/>
          <w:color w:val="333333"/>
          <w:spacing w:val="-3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physical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facilities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and</w:t>
      </w:r>
      <w:r>
        <w:rPr>
          <w:rFonts w:ascii="Tahoma"/>
          <w:b/>
          <w:color w:val="333333"/>
          <w:spacing w:val="-4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academic</w:t>
      </w:r>
      <w:r>
        <w:rPr>
          <w:rFonts w:ascii="Tahoma"/>
          <w:b/>
          <w:color w:val="333333"/>
          <w:spacing w:val="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support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facilities,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duly</w:t>
      </w:r>
      <w:r>
        <w:rPr>
          <w:rFonts w:ascii="Tahoma"/>
          <w:b/>
          <w:color w:val="333333"/>
          <w:spacing w:val="-2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certified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by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Head of</w:t>
      </w:r>
      <w:r>
        <w:rPr>
          <w:rFonts w:ascii="Tahoma"/>
          <w:b/>
          <w:color w:val="333333"/>
          <w:spacing w:val="-1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the Institution</w:t>
      </w:r>
      <w:r>
        <w:rPr>
          <w:rFonts w:ascii="Tahoma"/>
          <w:b/>
          <w:color w:val="333333"/>
          <w:spacing w:val="-2"/>
          <w:sz w:val="18"/>
        </w:rPr>
        <w:t xml:space="preserve"> </w:t>
      </w:r>
      <w:r>
        <w:rPr>
          <w:rFonts w:ascii="Tahoma"/>
          <w:b/>
          <w:color w:val="333333"/>
          <w:sz w:val="18"/>
        </w:rPr>
        <w:t>and CA.</w:t>
      </w:r>
    </w:p>
    <w:p w14:paraId="55A19285" w14:textId="77777777" w:rsidR="00301533" w:rsidRDefault="00301533" w:rsidP="00301533">
      <w:pPr>
        <w:pStyle w:val="BodyText"/>
        <w:rPr>
          <w:rFonts w:ascii="Tahoma"/>
          <w:sz w:val="20"/>
        </w:rPr>
      </w:pPr>
    </w:p>
    <w:p w14:paraId="327EC92A" w14:textId="77777777" w:rsidR="00301533" w:rsidRDefault="00301533" w:rsidP="00301533">
      <w:pPr>
        <w:pStyle w:val="BodyText"/>
        <w:spacing w:before="10"/>
        <w:rPr>
          <w:rFonts w:ascii="Tahoma"/>
          <w:sz w:val="23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91"/>
      </w:tblGrid>
      <w:tr w:rsidR="00301533" w14:paraId="7208FE0C" w14:textId="77777777" w:rsidTr="009B3823">
        <w:trPr>
          <w:trHeight w:val="457"/>
        </w:trPr>
        <w:tc>
          <w:tcPr>
            <w:tcW w:w="4789" w:type="dxa"/>
          </w:tcPr>
          <w:p w14:paraId="44F829B9" w14:textId="77777777" w:rsidR="00301533" w:rsidRDefault="00301533" w:rsidP="004C331F">
            <w:pPr>
              <w:pStyle w:val="TableParagraph"/>
              <w:ind w:left="1620" w:right="1612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4791" w:type="dxa"/>
            <w:vAlign w:val="center"/>
          </w:tcPr>
          <w:p w14:paraId="7F657366" w14:textId="77777777" w:rsidR="00301533" w:rsidRDefault="00301533" w:rsidP="009B3823">
            <w:pPr>
              <w:pStyle w:val="TableParagraph"/>
              <w:ind w:left="1299" w:right="1278"/>
              <w:jc w:val="center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</w:tr>
      <w:tr w:rsidR="00301533" w14:paraId="5C1F1DCE" w14:textId="77777777" w:rsidTr="009B3823">
        <w:trPr>
          <w:trHeight w:val="703"/>
        </w:trPr>
        <w:tc>
          <w:tcPr>
            <w:tcW w:w="4789" w:type="dxa"/>
          </w:tcPr>
          <w:p w14:paraId="5E070513" w14:textId="77777777" w:rsidR="00301533" w:rsidRDefault="00301533" w:rsidP="004C331F">
            <w:pPr>
              <w:pStyle w:val="TableParagraph"/>
              <w:spacing w:line="259" w:lineRule="auto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Highlighting</w:t>
            </w:r>
            <w:r>
              <w:rPr>
                <w:b/>
                <w:color w:val="333333"/>
                <w:spacing w:val="9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the</w:t>
            </w:r>
            <w:r>
              <w:rPr>
                <w:b/>
                <w:color w:val="333333"/>
                <w:spacing w:val="10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items</w:t>
            </w:r>
            <w:r>
              <w:rPr>
                <w:b/>
                <w:color w:val="333333"/>
                <w:spacing w:val="1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of</w:t>
            </w:r>
            <w:r>
              <w:rPr>
                <w:b/>
                <w:color w:val="333333"/>
                <w:spacing w:val="1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expenditure</w:t>
            </w:r>
            <w:r>
              <w:rPr>
                <w:b/>
                <w:color w:val="333333"/>
                <w:spacing w:val="1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incurred</w:t>
            </w:r>
            <w:r>
              <w:rPr>
                <w:b/>
                <w:color w:val="333333"/>
                <w:spacing w:val="9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on</w:t>
            </w:r>
            <w:r>
              <w:rPr>
                <w:b/>
                <w:color w:val="333333"/>
                <w:spacing w:val="-50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maintenance</w:t>
            </w:r>
            <w:r>
              <w:rPr>
                <w:b/>
                <w:color w:val="333333"/>
                <w:spacing w:val="5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of</w:t>
            </w:r>
            <w:r>
              <w:rPr>
                <w:b/>
                <w:color w:val="333333"/>
                <w:spacing w:val="5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physical</w:t>
            </w:r>
            <w:r>
              <w:rPr>
                <w:b/>
                <w:color w:val="333333"/>
                <w:spacing w:val="49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facilities</w:t>
            </w:r>
            <w:r>
              <w:rPr>
                <w:b/>
                <w:color w:val="333333"/>
                <w:spacing w:val="52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and</w:t>
            </w:r>
            <w:r>
              <w:rPr>
                <w:b/>
                <w:color w:val="333333"/>
                <w:spacing w:val="47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academic</w:t>
            </w:r>
          </w:p>
          <w:p w14:paraId="4E5A8756" w14:textId="77777777" w:rsidR="00301533" w:rsidRDefault="00301533" w:rsidP="004C331F">
            <w:pPr>
              <w:pStyle w:val="TableParagraph"/>
              <w:spacing w:before="1" w:line="213" w:lineRule="exact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support</w:t>
            </w:r>
            <w:r>
              <w:rPr>
                <w:b/>
                <w:color w:val="333333"/>
                <w:spacing w:val="-5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facilities</w:t>
            </w:r>
          </w:p>
        </w:tc>
        <w:tc>
          <w:tcPr>
            <w:tcW w:w="4791" w:type="dxa"/>
            <w:vAlign w:val="center"/>
          </w:tcPr>
          <w:p w14:paraId="0206DB7E" w14:textId="4F5D4624" w:rsidR="00301533" w:rsidRDefault="008B52AF" w:rsidP="009B3823">
            <w:pPr>
              <w:pStyle w:val="TableParagraph"/>
              <w:spacing w:line="273" w:lineRule="exact"/>
              <w:ind w:left="1299" w:right="1288"/>
              <w:jc w:val="center"/>
              <w:rPr>
                <w:b/>
                <w:sz w:val="24"/>
              </w:rPr>
            </w:pPr>
            <w:hyperlink r:id="rId8" w:history="1">
              <w:r w:rsidRPr="008B52AF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30C7480C" w14:textId="49CF8705" w:rsidR="00A462BF" w:rsidRDefault="00A462BF">
      <w:pPr>
        <w:rPr>
          <w:sz w:val="20"/>
        </w:rPr>
      </w:pPr>
    </w:p>
    <w:p w14:paraId="397B9718" w14:textId="55604A1C" w:rsidR="008B52AF" w:rsidRDefault="008B52AF">
      <w:pPr>
        <w:rPr>
          <w:sz w:val="20"/>
        </w:rPr>
      </w:pPr>
    </w:p>
    <w:p w14:paraId="6A07FE91" w14:textId="244AC0B2" w:rsidR="008B52AF" w:rsidRDefault="008B52AF" w:rsidP="008B52AF">
      <w:pPr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62CF441B" wp14:editId="056FD936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</w:p>
    <w:sectPr w:rsidR="008B52AF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47B"/>
    <w:multiLevelType w:val="hybridMultilevel"/>
    <w:tmpl w:val="5F0E34BA"/>
    <w:lvl w:ilvl="0" w:tplc="49942908">
      <w:start w:val="4"/>
      <w:numFmt w:val="decimal"/>
      <w:lvlText w:val="%1"/>
      <w:lvlJc w:val="left"/>
      <w:pPr>
        <w:ind w:left="1300" w:hanging="540"/>
        <w:jc w:val="left"/>
      </w:pPr>
      <w:rPr>
        <w:rFonts w:hint="default"/>
        <w:lang w:val="en-US" w:eastAsia="en-US" w:bidi="ar-SA"/>
      </w:rPr>
    </w:lvl>
    <w:lvl w:ilvl="1" w:tplc="661E20AA">
      <w:numFmt w:val="none"/>
      <w:lvlText w:val=""/>
      <w:lvlJc w:val="left"/>
      <w:pPr>
        <w:tabs>
          <w:tab w:val="num" w:pos="360"/>
        </w:tabs>
      </w:pPr>
    </w:lvl>
    <w:lvl w:ilvl="2" w:tplc="7316B19E">
      <w:numFmt w:val="none"/>
      <w:lvlText w:val=""/>
      <w:lvlJc w:val="left"/>
      <w:pPr>
        <w:tabs>
          <w:tab w:val="num" w:pos="360"/>
        </w:tabs>
      </w:pPr>
    </w:lvl>
    <w:lvl w:ilvl="3" w:tplc="73842604">
      <w:numFmt w:val="none"/>
      <w:lvlText w:val=""/>
      <w:lvlJc w:val="left"/>
      <w:pPr>
        <w:tabs>
          <w:tab w:val="num" w:pos="360"/>
        </w:tabs>
      </w:pPr>
    </w:lvl>
    <w:lvl w:ilvl="4" w:tplc="D4B236E6">
      <w:numFmt w:val="bullet"/>
      <w:lvlText w:val="•"/>
      <w:lvlJc w:val="left"/>
      <w:pPr>
        <w:ind w:left="5620" w:hanging="780"/>
      </w:pPr>
      <w:rPr>
        <w:rFonts w:hint="default"/>
        <w:lang w:val="en-US" w:eastAsia="en-US" w:bidi="ar-SA"/>
      </w:rPr>
    </w:lvl>
    <w:lvl w:ilvl="5" w:tplc="674A1498">
      <w:numFmt w:val="bullet"/>
      <w:lvlText w:val="•"/>
      <w:lvlJc w:val="left"/>
      <w:pPr>
        <w:ind w:left="6700" w:hanging="780"/>
      </w:pPr>
      <w:rPr>
        <w:rFonts w:hint="default"/>
        <w:lang w:val="en-US" w:eastAsia="en-US" w:bidi="ar-SA"/>
      </w:rPr>
    </w:lvl>
    <w:lvl w:ilvl="6" w:tplc="92903AF6">
      <w:numFmt w:val="bullet"/>
      <w:lvlText w:val="•"/>
      <w:lvlJc w:val="left"/>
      <w:pPr>
        <w:ind w:left="7780" w:hanging="780"/>
      </w:pPr>
      <w:rPr>
        <w:rFonts w:hint="default"/>
        <w:lang w:val="en-US" w:eastAsia="en-US" w:bidi="ar-SA"/>
      </w:rPr>
    </w:lvl>
    <w:lvl w:ilvl="7" w:tplc="6346FBB0">
      <w:numFmt w:val="bullet"/>
      <w:lvlText w:val="•"/>
      <w:lvlJc w:val="left"/>
      <w:pPr>
        <w:ind w:left="8860" w:hanging="780"/>
      </w:pPr>
      <w:rPr>
        <w:rFonts w:hint="default"/>
        <w:lang w:val="en-US" w:eastAsia="en-US" w:bidi="ar-SA"/>
      </w:rPr>
    </w:lvl>
    <w:lvl w:ilvl="8" w:tplc="29C84A04">
      <w:numFmt w:val="bullet"/>
      <w:lvlText w:val="•"/>
      <w:lvlJc w:val="left"/>
      <w:pPr>
        <w:ind w:left="9940" w:hanging="780"/>
      </w:pPr>
      <w:rPr>
        <w:rFonts w:hint="default"/>
        <w:lang w:val="en-US" w:eastAsia="en-US" w:bidi="ar-SA"/>
      </w:rPr>
    </w:lvl>
  </w:abstractNum>
  <w:abstractNum w:abstractNumId="1" w15:restartNumberingAfterBreak="0">
    <w:nsid w:val="299575DE"/>
    <w:multiLevelType w:val="hybridMultilevel"/>
    <w:tmpl w:val="8524180A"/>
    <w:lvl w:ilvl="0" w:tplc="8486B0E2">
      <w:start w:val="4"/>
      <w:numFmt w:val="decimal"/>
      <w:lvlText w:val="%1"/>
      <w:lvlJc w:val="left"/>
      <w:pPr>
        <w:ind w:left="1300" w:hanging="481"/>
        <w:jc w:val="left"/>
      </w:pPr>
      <w:rPr>
        <w:rFonts w:hint="default"/>
        <w:lang w:val="en-US" w:eastAsia="en-US" w:bidi="ar-SA"/>
      </w:rPr>
    </w:lvl>
    <w:lvl w:ilvl="1" w:tplc="7C786D52">
      <w:numFmt w:val="none"/>
      <w:lvlText w:val=""/>
      <w:lvlJc w:val="left"/>
      <w:pPr>
        <w:tabs>
          <w:tab w:val="num" w:pos="360"/>
        </w:tabs>
      </w:pPr>
    </w:lvl>
    <w:lvl w:ilvl="2" w:tplc="449691A8">
      <w:numFmt w:val="none"/>
      <w:lvlText w:val=""/>
      <w:lvlJc w:val="left"/>
      <w:pPr>
        <w:tabs>
          <w:tab w:val="num" w:pos="360"/>
        </w:tabs>
      </w:pPr>
    </w:lvl>
    <w:lvl w:ilvl="3" w:tplc="51E664DE">
      <w:numFmt w:val="none"/>
      <w:lvlText w:val=""/>
      <w:lvlJc w:val="left"/>
      <w:pPr>
        <w:tabs>
          <w:tab w:val="num" w:pos="360"/>
        </w:tabs>
      </w:pPr>
    </w:lvl>
    <w:lvl w:ilvl="4" w:tplc="1C9AB01E">
      <w:numFmt w:val="bullet"/>
      <w:lvlText w:val="•"/>
      <w:lvlJc w:val="left"/>
      <w:pPr>
        <w:ind w:left="5620" w:hanging="780"/>
      </w:pPr>
      <w:rPr>
        <w:rFonts w:hint="default"/>
        <w:lang w:val="en-US" w:eastAsia="en-US" w:bidi="ar-SA"/>
      </w:rPr>
    </w:lvl>
    <w:lvl w:ilvl="5" w:tplc="F2B81F98">
      <w:numFmt w:val="bullet"/>
      <w:lvlText w:val="•"/>
      <w:lvlJc w:val="left"/>
      <w:pPr>
        <w:ind w:left="6700" w:hanging="780"/>
      </w:pPr>
      <w:rPr>
        <w:rFonts w:hint="default"/>
        <w:lang w:val="en-US" w:eastAsia="en-US" w:bidi="ar-SA"/>
      </w:rPr>
    </w:lvl>
    <w:lvl w:ilvl="6" w:tplc="8A86C52C">
      <w:numFmt w:val="bullet"/>
      <w:lvlText w:val="•"/>
      <w:lvlJc w:val="left"/>
      <w:pPr>
        <w:ind w:left="7780" w:hanging="780"/>
      </w:pPr>
      <w:rPr>
        <w:rFonts w:hint="default"/>
        <w:lang w:val="en-US" w:eastAsia="en-US" w:bidi="ar-SA"/>
      </w:rPr>
    </w:lvl>
    <w:lvl w:ilvl="7" w:tplc="DB6E900C">
      <w:numFmt w:val="bullet"/>
      <w:lvlText w:val="•"/>
      <w:lvlJc w:val="left"/>
      <w:pPr>
        <w:ind w:left="8860" w:hanging="780"/>
      </w:pPr>
      <w:rPr>
        <w:rFonts w:hint="default"/>
        <w:lang w:val="en-US" w:eastAsia="en-US" w:bidi="ar-SA"/>
      </w:rPr>
    </w:lvl>
    <w:lvl w:ilvl="8" w:tplc="AA445E80">
      <w:numFmt w:val="bullet"/>
      <w:lvlText w:val="•"/>
      <w:lvlJc w:val="left"/>
      <w:pPr>
        <w:ind w:left="9940" w:hanging="780"/>
      </w:pPr>
      <w:rPr>
        <w:rFonts w:hint="default"/>
        <w:lang w:val="en-US" w:eastAsia="en-US" w:bidi="ar-SA"/>
      </w:rPr>
    </w:lvl>
  </w:abstractNum>
  <w:abstractNum w:abstractNumId="2" w15:restartNumberingAfterBreak="0">
    <w:nsid w:val="33075007"/>
    <w:multiLevelType w:val="hybridMultilevel"/>
    <w:tmpl w:val="B17A3146"/>
    <w:lvl w:ilvl="0" w:tplc="C3C27018">
      <w:start w:val="1"/>
      <w:numFmt w:val="decimal"/>
      <w:lvlText w:val="%1."/>
      <w:lvlJc w:val="left"/>
      <w:pPr>
        <w:ind w:left="1300" w:hanging="224"/>
        <w:jc w:val="right"/>
      </w:pPr>
      <w:rPr>
        <w:rFonts w:ascii="Tahoma" w:eastAsia="Tahoma" w:hAnsi="Tahoma" w:cs="Tahoma" w:hint="default"/>
        <w:b/>
        <w:bCs/>
        <w:color w:val="333333"/>
        <w:w w:val="100"/>
        <w:sz w:val="18"/>
        <w:szCs w:val="18"/>
        <w:lang w:val="en-US" w:eastAsia="en-US" w:bidi="ar-SA"/>
      </w:rPr>
    </w:lvl>
    <w:lvl w:ilvl="1" w:tplc="CA8610AC">
      <w:numFmt w:val="bullet"/>
      <w:lvlText w:val="•"/>
      <w:lvlJc w:val="left"/>
      <w:pPr>
        <w:ind w:left="2380" w:hanging="224"/>
      </w:pPr>
      <w:rPr>
        <w:rFonts w:hint="default"/>
        <w:lang w:val="en-US" w:eastAsia="en-US" w:bidi="ar-SA"/>
      </w:rPr>
    </w:lvl>
    <w:lvl w:ilvl="2" w:tplc="FA5065AC">
      <w:numFmt w:val="bullet"/>
      <w:lvlText w:val="•"/>
      <w:lvlJc w:val="left"/>
      <w:pPr>
        <w:ind w:left="3460" w:hanging="224"/>
      </w:pPr>
      <w:rPr>
        <w:rFonts w:hint="default"/>
        <w:lang w:val="en-US" w:eastAsia="en-US" w:bidi="ar-SA"/>
      </w:rPr>
    </w:lvl>
    <w:lvl w:ilvl="3" w:tplc="FF60B31E">
      <w:numFmt w:val="bullet"/>
      <w:lvlText w:val="•"/>
      <w:lvlJc w:val="left"/>
      <w:pPr>
        <w:ind w:left="4540" w:hanging="224"/>
      </w:pPr>
      <w:rPr>
        <w:rFonts w:hint="default"/>
        <w:lang w:val="en-US" w:eastAsia="en-US" w:bidi="ar-SA"/>
      </w:rPr>
    </w:lvl>
    <w:lvl w:ilvl="4" w:tplc="07C69B76">
      <w:numFmt w:val="bullet"/>
      <w:lvlText w:val="•"/>
      <w:lvlJc w:val="left"/>
      <w:pPr>
        <w:ind w:left="5620" w:hanging="224"/>
      </w:pPr>
      <w:rPr>
        <w:rFonts w:hint="default"/>
        <w:lang w:val="en-US" w:eastAsia="en-US" w:bidi="ar-SA"/>
      </w:rPr>
    </w:lvl>
    <w:lvl w:ilvl="5" w:tplc="8B687F1A">
      <w:numFmt w:val="bullet"/>
      <w:lvlText w:val="•"/>
      <w:lvlJc w:val="left"/>
      <w:pPr>
        <w:ind w:left="6700" w:hanging="224"/>
      </w:pPr>
      <w:rPr>
        <w:rFonts w:hint="default"/>
        <w:lang w:val="en-US" w:eastAsia="en-US" w:bidi="ar-SA"/>
      </w:rPr>
    </w:lvl>
    <w:lvl w:ilvl="6" w:tplc="7FA43728">
      <w:numFmt w:val="bullet"/>
      <w:lvlText w:val="•"/>
      <w:lvlJc w:val="left"/>
      <w:pPr>
        <w:ind w:left="7780" w:hanging="224"/>
      </w:pPr>
      <w:rPr>
        <w:rFonts w:hint="default"/>
        <w:lang w:val="en-US" w:eastAsia="en-US" w:bidi="ar-SA"/>
      </w:rPr>
    </w:lvl>
    <w:lvl w:ilvl="7" w:tplc="51BAD3CA">
      <w:numFmt w:val="bullet"/>
      <w:lvlText w:val="•"/>
      <w:lvlJc w:val="left"/>
      <w:pPr>
        <w:ind w:left="8860" w:hanging="224"/>
      </w:pPr>
      <w:rPr>
        <w:rFonts w:hint="default"/>
        <w:lang w:val="en-US" w:eastAsia="en-US" w:bidi="ar-SA"/>
      </w:rPr>
    </w:lvl>
    <w:lvl w:ilvl="8" w:tplc="AC24812E">
      <w:numFmt w:val="bullet"/>
      <w:lvlText w:val="•"/>
      <w:lvlJc w:val="left"/>
      <w:pPr>
        <w:ind w:left="994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782529616">
    <w:abstractNumId w:val="3"/>
  </w:num>
  <w:num w:numId="2" w16cid:durableId="787549338">
    <w:abstractNumId w:val="2"/>
  </w:num>
  <w:num w:numId="3" w16cid:durableId="131951191">
    <w:abstractNumId w:val="1"/>
  </w:num>
  <w:num w:numId="4" w16cid:durableId="194965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91774"/>
    <w:rsid w:val="00301533"/>
    <w:rsid w:val="004550AA"/>
    <w:rsid w:val="0051118F"/>
    <w:rsid w:val="005B7481"/>
    <w:rsid w:val="005B7702"/>
    <w:rsid w:val="0081444C"/>
    <w:rsid w:val="008B52AF"/>
    <w:rsid w:val="009B3823"/>
    <w:rsid w:val="009C70D6"/>
    <w:rsid w:val="009F2326"/>
    <w:rsid w:val="009F3223"/>
    <w:rsid w:val="00A462BF"/>
    <w:rsid w:val="00B2751C"/>
    <w:rsid w:val="00B7207E"/>
    <w:rsid w:val="00BD2C1F"/>
    <w:rsid w:val="00F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77B4B7E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4.4.1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17</cp:revision>
  <dcterms:created xsi:type="dcterms:W3CDTF">2023-03-16T10:43:00Z</dcterms:created>
  <dcterms:modified xsi:type="dcterms:W3CDTF">2023-03-28T16:09:00Z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